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Постановление Арбитражного суда Дальневосточного округа от 17.01.2023 N Ф03-6184/2022 по делу N А04-2355/2022</w:t>
      </w:r>
    </w:p>
    <w:p>
      <w:pPr>
        <w:pStyle w:val="0"/>
        <w:jc w:val="both"/>
      </w:pPr>
      <w:r>
        <w:rPr>
          <w:sz w:val="20"/>
        </w:rPr>
        <w:t xml:space="preserve">Требование: Об урегулировании разногласий по договору горячего водоснабжения.</w:t>
      </w:r>
    </w:p>
    <w:p>
      <w:pPr>
        <w:pStyle w:val="0"/>
        <w:jc w:val="both"/>
      </w:pPr>
      <w:r>
        <w:rPr>
          <w:sz w:val="20"/>
        </w:rPr>
        <w:t xml:space="preserve">Обстоятельства: При заключении договора между сторонами возникли разногласия относительно сведений о приборах учета и местах отбора проб горячей воды.</w:t>
      </w:r>
    </w:p>
    <w:p>
      <w:pPr>
        <w:pStyle w:val="0"/>
        <w:jc w:val="both"/>
      </w:pPr>
      <w:r>
        <w:rPr>
          <w:sz w:val="20"/>
        </w:rPr>
        <w:t xml:space="preserve">Решение: Дело передано на новое рассмотрение, так как не исследован вопрос об установленных в помещениях абонента приборах учета, соблюдении порядка ввода их в эксплуатацию и возможности их принятия в качестве расчетных.</w:t>
      </w:r>
    </w:p>
    <w:p>
      <w:pPr>
        <w:pStyle w:val="0"/>
        <w:spacing w:before="200" w:line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АРБИТРАЖНЫЙ СУД ДАЛЬНЕВОСТОЧНОГО ОКРУГА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17 января 2023 г. N Ф03-6184/2022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Резолютивная часть постановления объявлена 10 января 2023 года.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Полный текст постановления изготовлен 17 января 2023 года.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Арбитражный суд Дальневосточного округа в составе: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председательствующего судьи Яшкиной Е.К.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судей Захаренко Е.Н., Лесненко С.Ю.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участии: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от истца: Заярная Г.С. - представитель по доверенности от 01.01.2023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рассмотрев в судебном заседании, проведенном с использованием систем видеоконференц-связи при содействии Арбитражного суда Амурской области, кассационную жалобу публичного акционерного общества "Дальневосточная энергетическая компания"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на решение от 14.06.2022,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Шестого арбитражного апелляционного суда от 24.10.2022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делу N А04-2355/2022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Арбитражного суда Амурской области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иску публичного акционерного общества "Дальневосточная энергетическая компания"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 обществу с ограниченной ответственностью "Амурские коммунальные системы"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об урегулировании разногласий по договору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Арбитражный суд Амурской области обратилось публичное акционерное общество "Дальневосточная энергетическая компания" (ОГРН 1072721001660, ИНН 2723088770, адрес: 690091, Приморский край, г. Владивосток, ул. Тигровая, 19, далее - ПАО "ДЭК") с исковым заявлением к обществу с ограниченной ответственностью "Амурские коммунальные системы" (ОГРН 1202800000369, ИНН 2801254956, адрес: 675000, г. Благовещенск, ул. Мухина, д. 73, далее - ООО "АКС") об урегулировании разногласий по договору горячего водоснабжения от 20.12.2021 N 773г, принятии спорных пунктов в редакции истца.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Решением суда от 14.06.2022, оставленным без изменения </w:t>
      </w:r>
      <w:r>
        <w:rPr>
          <w:sz w:val="20"/>
        </w:rPr>
        <w:t xml:space="preserve">постановлением</w:t>
      </w:r>
      <w:r>
        <w:rPr>
          <w:sz w:val="20"/>
        </w:rPr>
        <w:t xml:space="preserve"> Шестого арбитражного апелляционного суда от 24.10.2022, суд урегулировал разногласия по договору горячего водоснабжения от 20.12.2021 N 773г между ПАО "ДЭК" и ООО "АКС", приняв спорные положения договора в следующей редакции: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пункт 12. Сверка расчетов по настоящему договору проводится между организацией, осуществляющей горячее водоснабжение, и абонентом не реже 1 раза в год либо по инициативе одной из сторон, но не чаще 1 раза в квартал, путем составления и подписания сторонами акта сверки расчетов. Сторона, инициирующая проведение сверки расчетов по настоящему договору, составляет и направляет в адрес другой стороны акт сверки расчетов в 2 экземплярах. В таком случае подписание акта сверки расчетов осуществляется в течение 10 рабочих дней со дня его получения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пункт 39. Сторона, получившая обращение, в течение 5 рабочих дней с даты его поступления обязана его рассмотреть и дать ответ.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пункт 40. По результатам ответа, предусмотренного пунктом 39 настоящего договора, стороны составляют акт об урегулировании разногласий.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Приложение N 1 к договору горячего водоснабжения N 773г от 20.12.2021.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Акт N 773г разграничения балансовой принадлежности и эксплуатационной ответственности сторон: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а) граница балансовой принадлежности объектов закрытой централизованной системы горячего водоснабжения находится: для организации, осуществляющей горячее водоснабжение - по линии А-А с внутренней системой горячего водоснабжения здания по адресу: ул. Калинина, 142/4; для абонентов - по линии А-А с централизованными сетями горячего водоснабжения в квартале 408, от которых подключено здание по адресу: ул. Калинина, 142/4;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б) Граница эксплуатационной ответственности объекта для организации, осуществляющей горячее водоснабжение, и абонента совпадает с границей балансовой принадлежности.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в) Внутреннюю систему горячего водоснабжения в здании до границы балансовой принадлежности и эксплуатационной ответственности, установленной настоящим актом, Абонент обслуживает в объеме пропорционально площади находящихся в его собственности помещений в здании по адресу: ул. Калинина, 142/4.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Приложение N 5 к договору горячего водоснабжения N 773г от 20.12.2021.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СВЕДЕНИЯ о приборах учета (узлах учета) и местах отбора проб горячей воды I. Приборы учета (узлы учета) горячей воды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"/>
        <w:gridCol w:w="1190"/>
        <w:gridCol w:w="1020"/>
        <w:gridCol w:w="1247"/>
        <w:gridCol w:w="1587"/>
        <w:gridCol w:w="1020"/>
        <w:gridCol w:w="1360"/>
        <w:gridCol w:w="1133"/>
      </w:tblGrid>
      <w:tr>
        <w:tc>
          <w:tcPr>
            <w:tcW w:w="510" w:type="dxa"/>
          </w:tcPr>
          <w:p>
            <w:pPr>
              <w:pStyle w:val="0"/>
            </w:pPr>
            <w:r>
              <w:rPr>
                <w:sz w:val="20"/>
              </w:rPr>
              <w:t xml:space="preserve">п/п</w:t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0"/>
              </w:rPr>
              <w:t xml:space="preserve">Показания приборов учета на начало подачи горячей воды</w:t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0"/>
              </w:rPr>
              <w:t xml:space="preserve">Дата опломбирования</w:t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0"/>
              </w:rPr>
              <w:t xml:space="preserve">Дата очередной поверки</w:t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0"/>
              </w:rPr>
              <w:t xml:space="preserve">Место расположения прибора учета (узла учета)</w:t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0"/>
              </w:rPr>
              <w:t xml:space="preserve">Диаметр водопроводной сети (миллиметров)</w:t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0"/>
              </w:rPr>
              <w:t xml:space="preserve">Марка и заводской номер прибора учета</w:t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листов прилагаемого технического паспорта</w:t>
            </w:r>
          </w:p>
        </w:tc>
      </w:tr>
      <w:tr>
        <w:tc>
          <w:tcPr>
            <w:tcW w:w="51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510" w:type="dxa"/>
          </w:tcPr>
          <w:p>
            <w:pPr>
              <w:pStyle w:val="0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0"/>
              </w:rPr>
              <w:t xml:space="preserve">ул. Калинина, 142/4 (1 этаж)</w:t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0"/>
              </w:rPr>
              <w:t xml:space="preserve">НОРМА СВКМ-15У</w:t>
            </w:r>
          </w:p>
          <w:p>
            <w:pPr>
              <w:pStyle w:val="0"/>
            </w:pPr>
            <w:r>
              <w:rPr>
                <w:sz w:val="20"/>
              </w:rPr>
              <w:t xml:space="preserve">N 1128573 А19</w:t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510" w:type="dxa"/>
          </w:tcPr>
          <w:p>
            <w:pPr>
              <w:pStyle w:val="0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0"/>
              </w:rPr>
              <w:t xml:space="preserve">ул. Калинина, 142/4(1 этаж)</w:t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0"/>
              </w:rPr>
              <w:t xml:space="preserve">НОРМА СВКМ-15У</w:t>
            </w:r>
          </w:p>
          <w:p>
            <w:pPr>
              <w:pStyle w:val="0"/>
            </w:pPr>
            <w:r>
              <w:rPr>
                <w:sz w:val="20"/>
              </w:rPr>
              <w:t xml:space="preserve">N 1092484</w:t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510" w:type="dxa"/>
          </w:tcPr>
          <w:p>
            <w:pPr>
              <w:pStyle w:val="0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0"/>
              </w:rPr>
              <w:t xml:space="preserve">ул. Калинина, 142/4 (1 этаж, договорной отдел)</w:t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0"/>
              </w:rPr>
              <w:t xml:space="preserve">СВК-15</w:t>
            </w:r>
          </w:p>
          <w:p>
            <w:pPr>
              <w:pStyle w:val="0"/>
            </w:pPr>
            <w:r>
              <w:rPr>
                <w:sz w:val="20"/>
              </w:rPr>
              <w:t xml:space="preserve">N 01015205 68</w:t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510" w:type="dxa"/>
          </w:tcPr>
          <w:p>
            <w:pPr>
              <w:pStyle w:val="0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0"/>
              </w:rPr>
              <w:t xml:space="preserve">ул. Калинина, 142/4 (1 этаж, ЕРИЦ)</w:t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0"/>
              </w:rPr>
              <w:t xml:space="preserve">СВК-15</w:t>
            </w:r>
          </w:p>
          <w:p>
            <w:pPr>
              <w:pStyle w:val="0"/>
            </w:pPr>
            <w:r>
              <w:rPr>
                <w:sz w:val="20"/>
              </w:rPr>
              <w:t xml:space="preserve">N 01015205 70</w:t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510" w:type="dxa"/>
          </w:tcPr>
          <w:p>
            <w:pPr>
              <w:pStyle w:val="0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ул. Калинина, 142/4 (2 этаж)</w:t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0"/>
              </w:rPr>
              <w:t xml:space="preserve">эконом СВ-15-110</w:t>
            </w:r>
          </w:p>
          <w:p>
            <w:pPr>
              <w:pStyle w:val="0"/>
            </w:pPr>
            <w:r>
              <w:rPr>
                <w:sz w:val="20"/>
              </w:rPr>
              <w:t xml:space="preserve">N 8415887</w:t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510" w:type="dxa"/>
          </w:tcPr>
          <w:p>
            <w:pPr>
              <w:pStyle w:val="0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ул. Калинина, 142/4(3 этаж)</w:t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0"/>
              </w:rPr>
              <w:t xml:space="preserve">СБУ-15</w:t>
            </w:r>
          </w:p>
          <w:p>
            <w:pPr>
              <w:pStyle w:val="0"/>
            </w:pPr>
            <w:r>
              <w:rPr>
                <w:sz w:val="20"/>
              </w:rPr>
              <w:t xml:space="preserve">N 4082656 19</w:t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0"/>
              </w:rPr>
              <w:t xml:space="preserve">1</w:t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II. Места отбора проб горячей воды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6"/>
        <w:gridCol w:w="4251"/>
        <w:gridCol w:w="4251"/>
      </w:tblGrid>
      <w:tr>
        <w:tc>
          <w:tcPr>
            <w:tcW w:w="566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п/п</w:t>
            </w:r>
          </w:p>
        </w:tc>
        <w:tc>
          <w:tcPr>
            <w:tcW w:w="4251" w:type="dxa"/>
          </w:tcPr>
          <w:p>
            <w:pPr>
              <w:pStyle w:val="0"/>
            </w:pPr>
            <w:r>
              <w:rPr>
                <w:sz w:val="20"/>
              </w:rPr>
              <w:t xml:space="preserve">Место отбора проб</w:t>
            </w:r>
          </w:p>
        </w:tc>
        <w:tc>
          <w:tcPr>
            <w:tcW w:w="4251" w:type="dxa"/>
          </w:tcPr>
          <w:p>
            <w:pPr>
              <w:pStyle w:val="0"/>
            </w:pPr>
            <w:r>
              <w:rPr>
                <w:sz w:val="20"/>
              </w:rPr>
              <w:t xml:space="preserve">Характеристика места отбора проб</w:t>
            </w:r>
          </w:p>
        </w:tc>
      </w:tr>
      <w:tr>
        <w:tc>
          <w:tcPr>
            <w:vMerge w:val="continue"/>
          </w:tcPr>
          <w:p/>
        </w:tc>
        <w:tc>
          <w:tcPr>
            <w:tcW w:w="4251" w:type="dxa"/>
          </w:tcPr>
          <w:p>
            <w:pPr>
              <w:pStyle w:val="0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4251" w:type="dxa"/>
          </w:tcPr>
          <w:p>
            <w:pPr>
              <w:pStyle w:val="0"/>
            </w:pPr>
            <w:r>
              <w:rPr>
                <w:sz w:val="20"/>
              </w:rPr>
              <w:t xml:space="preserve">3</w:t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Не согласившись с решением и апелляционным </w:t>
      </w:r>
      <w:r>
        <w:rPr>
          <w:sz w:val="20"/>
        </w:rPr>
        <w:t xml:space="preserve">постановлением</w:t>
      </w:r>
      <w:r>
        <w:rPr>
          <w:sz w:val="20"/>
        </w:rPr>
        <w:t xml:space="preserve"> в части урегулирования разногласий по пунктам 39, 40, Приложения N 5 к договору, ПАО "ДЭК" подало кассационную жалобу, в которой просит судебные акты в указанной части отменить, урегулировав в редакции истца либо направить на новое рассмотрении. В части пунктов 39, 40 договора заявитель указал на их несоответствие положениям </w:t>
      </w:r>
      <w:r>
        <w:rPr>
          <w:sz w:val="20"/>
        </w:rPr>
        <w:t xml:space="preserve">части 5 пункта 4</w:t>
      </w:r>
      <w:r>
        <w:rPr>
          <w:sz w:val="20"/>
        </w:rPr>
        <w:t xml:space="preserve"> АПК РФ в урегулированной судом редакции. В отношении Приложения N 5 к договору, в котором отражены сведения о приборах учета, заявитель полагает, что спор остался неурегулированным, настаивает на том, что в связи с уклонением ответчика от проведения процедуры допуска узла учета в эксплуатацию в соответствии с </w:t>
      </w:r>
      <w:r>
        <w:rPr>
          <w:sz w:val="20"/>
        </w:rPr>
        <w:t xml:space="preserve">пунктом 41</w:t>
      </w:r>
      <w:r>
        <w:rPr>
          <w:sz w:val="20"/>
        </w:rPr>
        <w:t xml:space="preserve"> Правил организации коммерческого учета воды, сточных вод, утвержденных Постановлением Правительства РФ от 04.09.2013 N 776 (далее - Правила N 776), спорные приборы учета считаются допущенными в эксплуатацию.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судебном заседании представитель истца доводы кассационной жалобы поддержала, ответив на дополнительные вопросы суда.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отзыве на кассационную жалобу ответчик привел доводы о несогласии с ней, настаивая на оставлении в силе обжалуемых судебных актов как законных и обоснованных.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Проверив законность состоявшихся судебных актов в порядке и пределах </w:t>
      </w:r>
      <w:r>
        <w:rPr>
          <w:sz w:val="20"/>
        </w:rPr>
        <w:t xml:space="preserve">статей 284</w:t>
      </w:r>
      <w:r>
        <w:rPr>
          <w:sz w:val="20"/>
        </w:rPr>
        <w:t xml:space="preserve">, </w:t>
      </w:r>
      <w:r>
        <w:rPr>
          <w:sz w:val="20"/>
        </w:rPr>
        <w:t xml:space="preserve">286</w:t>
      </w:r>
      <w:r>
        <w:rPr>
          <w:sz w:val="20"/>
        </w:rPr>
        <w:t xml:space="preserve"> АПК РФ, Арбитражный суд Дальневосточного округа приходит к следующим выводам.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Как установлено судами из материалов дела, в собственности ПАО "ДЭК" имеются объекты недвижимого имущества, расположенные в г. Благовещенск, подключенные к централизованной системе водоснабжения и водоотведения.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отношении указанных объектов между ПАО "ДЭК" и ООО "АКС" заключен договор на отпуск воды и прием сточных вод от 23.04.2010.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связи с переходом прав на часть помещений принадлежащих ранее ПАО "ДЭК", а также с учетом изменения действующего законодательства в сфере водоснабжения и водоотведения, 19.11.2021 в адрес ООО "АКС" абонентом (ПАО "ДЭК") направлено уведомление о расторжении договора от 23.04.2010.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Дополнительным соглашением от 16.12.2021 указанный договор расторгнут с 01.01.2022.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ПАО "ДЭК" 02.12.2021 направило в адрес организации ООО "АКС" заявку на заключение нового договора водоснабжения и водоотведения на принадлежащие ПАО "ДЭК" объекты, с приложенными к ней документами.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адрес ПАО "ДЭК" 19.01.2022 поступил проект договора горячего водоснабжения N 773г от 20.12.2021.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Не согласившись с некоторыми пунктами предложенного проекта договора от 20.12.2021 N 773г, ПАО "ДЭК" 31.01.2022 направило в адрес ответчика протокол разногласий. ООО "АКС" направило протокол согласования разногласий от 22.02.2022.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Неурегулирования разногласий в досудебном порядке пунктов 12, 39, 40, Приложения N 1, Приложения N 5 послужило основанием для обращения истца с настоящим иском в суд.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статьи 421</w:t>
      </w:r>
      <w:r>
        <w:rPr>
          <w:sz w:val="20"/>
        </w:rPr>
        <w:t xml:space="preserve"> ГК РФ граждане и юридические лица свободны в заключении договора. Понуждение к заключению договора не допускается, за исключением случаев, когда обязанность заключить договор предусмотрена настоящим </w:t>
      </w:r>
      <w:r>
        <w:rPr>
          <w:sz w:val="20"/>
        </w:rPr>
        <w:t xml:space="preserve">Кодексом</w:t>
      </w:r>
      <w:r>
        <w:rPr>
          <w:sz w:val="20"/>
        </w:rPr>
        <w:t xml:space="preserve">, законом или добровольно принятым обязательством.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пунктом 1 статьи 426</w:t>
      </w:r>
      <w:r>
        <w:rPr>
          <w:sz w:val="20"/>
        </w:rPr>
        <w:t xml:space="preserve"> ГК РФ публичным договором признается договор, заключенный коммерческой организацией и устанавливающий ее обязанности по продаже товаров, выполнению работ, оказанию услуг, которые такая организация по характеру своей деятельности должна осуществлять в отношении каждого, кто к ней обратится (розничная торговля, перевозка транспортом общего пользования, услуги связи, энергоснабжение и т.п.).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смыслу положений </w:t>
      </w:r>
      <w:r>
        <w:rPr>
          <w:sz w:val="20"/>
        </w:rPr>
        <w:t xml:space="preserve">статей 426</w:t>
      </w:r>
      <w:r>
        <w:rPr>
          <w:sz w:val="20"/>
        </w:rPr>
        <w:t xml:space="preserve">, </w:t>
      </w:r>
      <w:r>
        <w:rPr>
          <w:sz w:val="20"/>
        </w:rPr>
        <w:t xml:space="preserve">539</w:t>
      </w:r>
      <w:r>
        <w:rPr>
          <w:sz w:val="20"/>
        </w:rPr>
        <w:t xml:space="preserve"> ГК РФ договор энергоснабжения является публичным договором.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случаях, когда в соответствии с настоящим </w:t>
      </w:r>
      <w:r>
        <w:rPr>
          <w:sz w:val="20"/>
        </w:rPr>
        <w:t xml:space="preserve">Кодексом</w:t>
      </w:r>
      <w:r>
        <w:rPr>
          <w:sz w:val="20"/>
        </w:rPr>
        <w:t xml:space="preserve"> или иными законами заключение договора обязательно для стороны, направившей оферту (проект договора), и ей в течение тридцати дней будет направлен протокол разногласий к проекту договора, эта сторона обязана в течение тридцати дней со дня получения протокола разногласий известить другую сторону о принятии договора в ее редакции либо об отклонении протокола разногласий. При отклонении протокола разногласий либо неполучении извещения о результатах его рассмотрения в указанный срок сторона, направившая протокол разногласий, вправе передать разногласия, возникшие при заключении договора, на рассмотрение суда (</w:t>
      </w:r>
      <w:r>
        <w:rPr>
          <w:sz w:val="20"/>
        </w:rPr>
        <w:t xml:space="preserve">пункт 2 статьи 445</w:t>
      </w:r>
      <w:r>
        <w:rPr>
          <w:sz w:val="20"/>
        </w:rPr>
        <w:t xml:space="preserve"> ГК РФ).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На основании </w:t>
      </w:r>
      <w:r>
        <w:rPr>
          <w:sz w:val="20"/>
        </w:rPr>
        <w:t xml:space="preserve">пункта 1 статьи 446</w:t>
      </w:r>
      <w:r>
        <w:rPr>
          <w:sz w:val="20"/>
        </w:rPr>
        <w:t xml:space="preserve"> ГК РФ в случаях передачи разногласий, возникших при заключении договора, на рассмотрение суда на основании </w:t>
      </w:r>
      <w:r>
        <w:rPr>
          <w:sz w:val="20"/>
        </w:rPr>
        <w:t xml:space="preserve">статьи 445</w:t>
      </w:r>
      <w:r>
        <w:rPr>
          <w:sz w:val="20"/>
        </w:rPr>
        <w:t xml:space="preserve"> ГК РФ либо по соглашению сторон условия договора, по которым у сторон имелись разногласия, определяются в соответствии с решением суда.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статьи 173</w:t>
      </w:r>
      <w:r>
        <w:rPr>
          <w:sz w:val="20"/>
        </w:rPr>
        <w:t xml:space="preserve"> АПК РФ по спору, возникшему при заключении договора, в резолютивной части решения указывается вывод арбитражного суда по каждому спорному условию договора.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Пункт 12 договора, Приложение N 1 к договору урегулированы судом в редакции истца, не обжаловались в апелляционном порядке и не являются предметом настоящего кассационного разбирательства.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рамках настоящего кассационного производства ПАО "ДЭК" оспаривает законность принятых судебных актов в части урегулированных судом пунктов 39, 40 договора, Приложения N 5 к договору.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Разрешая преддоговорной спор в части пунктов 39, 40 договора, судебные инстанции правомерно исходили из положений </w:t>
      </w:r>
      <w:r>
        <w:rPr>
          <w:sz w:val="20"/>
        </w:rPr>
        <w:t xml:space="preserve">раздела X</w:t>
      </w:r>
      <w:r>
        <w:rPr>
          <w:sz w:val="20"/>
        </w:rPr>
        <w:t xml:space="preserve"> Порядка урегулирования разногласий по договору, возникающих между абонентом и организацией, Постановления Правительства РФ от 29.07.2013 N 643 "Об утверждении типовых договоров в области горячего водоснабжения" (далее - Постановление N 643), которым в полной мере соответствует предложенная ответчиком редакция договора. При этом суды обоснованно указали на то, что находящиеся в споре пункты договора не регламентируют порядок разрешения имущественных споров и не исключают применение </w:t>
      </w:r>
      <w:r>
        <w:rPr>
          <w:sz w:val="20"/>
        </w:rPr>
        <w:t xml:space="preserve">части 5 статьи 4</w:t>
      </w:r>
      <w:r>
        <w:rPr>
          <w:sz w:val="20"/>
        </w:rPr>
        <w:t xml:space="preserve"> АПК РФ, предусматривающей тридцатидневный срок на досудебное урегулирование споров.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Такие выводы судов в полной мере соответствуют нормам действующего законодательства и установленным фактическим обстоятельствам спора.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Вместе с тем, суд округа не может согласиться с выводами судов относительно принятой редакции Приложения N 5 к договору.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Разрешая спор в данной части, суд первой инстанции, следуя принципу приоритетности приборного метода учета объема потребления, констатировав возможность установки приборов учета в ином месте, отличном от границы раздела, отразил в резолютивной части решения марку и заводской номер индивидуальных приборов учета, заявленных истцом, место расположения приборов учета, одновременно указав на то, что в данном случае не могут быть включены сведения о показаниях приборов учета на начало подачи горячей воды, о дате опломбирования, о дате очередной проверки, мотивируя это тем, что по настоящему делу не рассматривается спор относительно введения в эксплуатацию индивидуальных приборов учета и эти данные должны быть внесены по итогам соответствующих процедур введения индивидуальных приборов учета в эксплуатацию.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части 5 статьи 13</w:t>
      </w:r>
      <w:r>
        <w:rPr>
          <w:sz w:val="20"/>
        </w:rPr>
        <w:t xml:space="preserve"> Федерального закона от 07.12.2011 N 416-ФЗ "О водоснабжении и водоотведении" (далее - Закон N 416-ФЗ) существенными условиями договора горячего водоснабжения являются порядок осуществления учета поданной воды.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Коммерческий учет воды, сточных вод осуществляется путем измерения количества воды и сточных вод приборами учета (средствами измерения) воды, сточных вод в узлах учета или расчетным способом в случаях, предусмотренных </w:t>
      </w:r>
      <w:r>
        <w:rPr>
          <w:sz w:val="20"/>
        </w:rPr>
        <w:t xml:space="preserve">Законом</w:t>
      </w:r>
      <w:r>
        <w:rPr>
          <w:sz w:val="20"/>
        </w:rPr>
        <w:t xml:space="preserve"> N 416-ФЗ (</w:t>
      </w:r>
      <w:r>
        <w:rPr>
          <w:sz w:val="20"/>
        </w:rPr>
        <w:t xml:space="preserve">пункт 3</w:t>
      </w:r>
      <w:r>
        <w:rPr>
          <w:sz w:val="20"/>
        </w:rPr>
        <w:t xml:space="preserve"> Правил N 776).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пункта 22</w:t>
      </w:r>
      <w:r>
        <w:rPr>
          <w:sz w:val="20"/>
        </w:rPr>
        <w:t xml:space="preserve"> Постановления Правительства РФ от 29.07.2013 N 642 "Об утверждении Правил горячего водоснабжения и внесении изменения в Постановление Правительства РФ от 13.02.2006 N 83" (далее - Постановление N 642) объем полученной горячей воды определяется исходя из объемов потребленных воды и тепловой энергии в составе горячей воды по показаниям средств измерений (приборов учета) за определенный период времени.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Средства измерений (приборы учета) - технические средства, предназначенные для измерений, имеющие обязательные метрологические характеристики, воспроизводящие и (или) хранящие единицу физической величины, размер которой принимается неизменным (в пределах установленной погрешности) в течение определенного интервала времени, и используемые для целей коммерческого учета воды и тепловой энергии в составе горячей воды (</w:t>
      </w:r>
      <w:r>
        <w:rPr>
          <w:sz w:val="20"/>
        </w:rPr>
        <w:t xml:space="preserve">пункт 2</w:t>
      </w:r>
      <w:r>
        <w:rPr>
          <w:sz w:val="20"/>
        </w:rPr>
        <w:t xml:space="preserve"> Постановления N 642).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Исходя из положений </w:t>
      </w:r>
      <w:r>
        <w:rPr>
          <w:sz w:val="20"/>
        </w:rPr>
        <w:t xml:space="preserve">пункта 18</w:t>
      </w:r>
      <w:r>
        <w:rPr>
          <w:sz w:val="20"/>
        </w:rPr>
        <w:t xml:space="preserve"> типовых договоров горячего водоснабжения и </w:t>
      </w:r>
      <w:r>
        <w:rPr>
          <w:sz w:val="20"/>
        </w:rPr>
        <w:t xml:space="preserve">Приложения N 5</w:t>
      </w:r>
      <w:r>
        <w:rPr>
          <w:sz w:val="20"/>
        </w:rPr>
        <w:t xml:space="preserve"> к типовому договору горячего водоснабжения, утвержденных в Постановлении N 643, в договорах горячего водоснабжения подлежат отражению следующие сведения о приборах учета: показания приборов учета на начало подачи горячей воды, дата опломбирования, дата очередной поверки, место расположения ПУ, диаметр водопроводной сети, марки и заводской номер ПУ, количество листов прилагаемого технического паспорта.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Порядок допуска узла учета в эксплуатацию определен в </w:t>
      </w:r>
      <w:r>
        <w:rPr>
          <w:sz w:val="20"/>
        </w:rPr>
        <w:t xml:space="preserve">разделе VI</w:t>
      </w:r>
      <w:r>
        <w:rPr>
          <w:sz w:val="20"/>
        </w:rPr>
        <w:t xml:space="preserve"> Правил N 776.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общему правилу разрешение судом спора об урегулировании разногласий по конкретным условиям договора сводится по существу к внесению определенности в правоотношения сторон и установлению судом условий, не урегулированных сторонами в досудебном порядке.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Применительно к спорной ситуации, обращаясь с настоящим иском в суд, истец, предлагая свою редакцию Приложения N 5 к договору, заявлял о необходимости признать допущенными в эксплуатацию индивидуальных приборов учета, установленных им и фиксирующих объем поступившей горячей воды в отношении принадлежащих ему помещений в здании.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Такие требования со стороны абонента обусловлены уклонением со стороны ресурсоснабжающей организации от мероприятий по допуску самостоятельно установленных истцом узлов учета в эксплуатацию, предусмотренных </w:t>
      </w:r>
      <w:r>
        <w:rPr>
          <w:sz w:val="20"/>
        </w:rPr>
        <w:t xml:space="preserve">Правилами</w:t>
      </w:r>
      <w:r>
        <w:rPr>
          <w:sz w:val="20"/>
        </w:rPr>
        <w:t xml:space="preserve"> N 776 (приборы учета N 1128573, N 1092484, N 84158870). По мнению истца, данные приборы учета считаются допущенными в эксплуатацию в соответствии с </w:t>
      </w:r>
      <w:r>
        <w:rPr>
          <w:sz w:val="20"/>
        </w:rPr>
        <w:t xml:space="preserve">пунктом 41</w:t>
      </w:r>
      <w:r>
        <w:rPr>
          <w:sz w:val="20"/>
        </w:rPr>
        <w:t xml:space="preserve"> Правил N 776.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этом абонент заявил о невозможности принимать в качестве расчетных два прибора учета, установленных в подвале, поскольку данные приборы учитывают потребление всего здания, в том числе помещений, не принадлежащих ПАО "ДЭК", и помещений, относящихся к общему имуществу собственников помещений.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отношении трех остальных приборов учета (N 0101520568, N 0101520570, N 408265619) редакции Приложения N 5 к договору горячего водоснабжения истца и ответчика совпадают. В Приложении N 5 к договору ресурсоснабжающей организацией изначально отражены даты опломбирования этих приборов учета и даты очередной поверки. Таким образом, по существу в отношении указанных средств измерений спора между сторонами не имеется.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целях разрешения спора об урегулировании разногласий по договору (в данном случае в отношении существенного условия договора горячего водоснабжения, касающегося порядка осуществления коммерческого учета) суду надлежало исследовать вопрос об установленных в помещениях истца приборах учета, соблюдении порядка ввода их в эксплуатацию и возможности их принятия в качестве расчетных, отразив при этом в резолютивной части решения все сведения о приборах учета, являющиеся обязательными в силу </w:t>
      </w:r>
      <w:r>
        <w:rPr>
          <w:sz w:val="20"/>
        </w:rPr>
        <w:t xml:space="preserve">Приложения N 5</w:t>
      </w:r>
      <w:r>
        <w:rPr>
          <w:sz w:val="20"/>
        </w:rPr>
        <w:t xml:space="preserve"> к типовым договорам горячего водоснабжения, утвержденных в Постановлении N 643, в случае признания судом таких приборов учета введенными в эксплуатацию.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Вопреки изложенному судом не исследован вопрос о соблюдении порядка ввода в эксплуатацию применительно к положениям </w:t>
      </w:r>
      <w:r>
        <w:rPr>
          <w:sz w:val="20"/>
        </w:rPr>
        <w:t xml:space="preserve">раздела VI</w:t>
      </w:r>
      <w:r>
        <w:rPr>
          <w:sz w:val="20"/>
        </w:rPr>
        <w:t xml:space="preserve"> Правил N 776 приборов учета, заявленных истцом.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результате принятия оспариваемых судебных актов не достигнута цель обращения ПАО "ДЭК" в суд, не выполнено требование гражданского законодательства о заключении переданного на рассмотрение суда договора в обязательном порядке.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этом судом определено, что вопрос, касающийся ввода в эксплуатацию узлов учета, подлежит обсуждению в рамках отдельного искового производства.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Между тем, такой вывод суда вступает в противоречие с резолютивной частью принятого решения, где отражены идентифицирующие признаки индивидуальных приборов учета в Приложении N 5 к договору (марка и заводской номер прибора учета, место расположения прибора учета), заявленных истцом, что фактически указывает на признание их принятыми в качестве расчетных в правоотношениях между истцом и ответчиком при исполнении заключаемого договора N 773г по смыслу пункта 18 договора горячего водоснабжения, а также положений </w:t>
      </w:r>
      <w:r>
        <w:rPr>
          <w:sz w:val="20"/>
        </w:rPr>
        <w:t xml:space="preserve">Постановления</w:t>
      </w:r>
      <w:r>
        <w:rPr>
          <w:sz w:val="20"/>
        </w:rPr>
        <w:t xml:space="preserve"> N 643.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то же время, судом не учтено, что принятая судом редакция Приложения N 5 к договору без отражения всех идентифицирующих признаков индивидуальных приборов учета, в отношении которых редакции Приложения N 5 к спорному договору истца и ответчика совпадали (N 0101520568, N 0101520570, N 408265619), не соответствует </w:t>
      </w:r>
      <w:r>
        <w:rPr>
          <w:sz w:val="20"/>
        </w:rPr>
        <w:t xml:space="preserve">Приложению N 5</w:t>
      </w:r>
      <w:r>
        <w:rPr>
          <w:sz w:val="20"/>
        </w:rPr>
        <w:t xml:space="preserve"> к типовому договору горячего водоснабжения, утвержденному Постановлением N 643.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Поскольку судами не обеспечена полнота исследования доказательств в целях установления имеющих существенное значение для разрешения спора об урегулировании разногласий по договору обстоятельств, касающихся расчетных приборов учета, допущены нарушения норм процессуального законодательства и неверно истолковали нормы материального права, регулирующие правоотношения сторон (</w:t>
      </w:r>
      <w:r>
        <w:rPr>
          <w:sz w:val="20"/>
        </w:rPr>
        <w:t xml:space="preserve">части 1</w:t>
      </w:r>
      <w:r>
        <w:rPr>
          <w:sz w:val="20"/>
        </w:rPr>
        <w:t xml:space="preserve"> - </w:t>
      </w:r>
      <w:r>
        <w:rPr>
          <w:sz w:val="20"/>
        </w:rPr>
        <w:t xml:space="preserve">3 статьи 288</w:t>
      </w:r>
      <w:r>
        <w:rPr>
          <w:sz w:val="20"/>
        </w:rPr>
        <w:t xml:space="preserve"> АПК РФ), судебные акты в указанной выше части не могут быть признаны законными, обоснованными и мотивированными, как того требует </w:t>
      </w:r>
      <w:r>
        <w:rPr>
          <w:sz w:val="20"/>
        </w:rPr>
        <w:t xml:space="preserve">часть 4 статьи 15</w:t>
      </w:r>
      <w:r>
        <w:rPr>
          <w:sz w:val="20"/>
        </w:rPr>
        <w:t xml:space="preserve"> АПК РФ.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Принятие законного и обоснованного решения требует установления обстоятельств, исследование и оценку доказательств, что невозможно в суде кассационной инстанции в силу его полномочий, поэтому принятые по делу судебные акты частично подлежат отмене с направлением дела на новое рассмотрение в суд первой инстанции (</w:t>
      </w:r>
      <w:r>
        <w:rPr>
          <w:sz w:val="20"/>
        </w:rPr>
        <w:t xml:space="preserve">пункт 3 части 1 статьи 287</w:t>
      </w:r>
      <w:r>
        <w:rPr>
          <w:sz w:val="20"/>
        </w:rPr>
        <w:t xml:space="preserve"> АПК РФ), при котором суду следует учесть изложенное в настоящем постановлении и разрешить спор об урегулировании разногласий по Приложению N 5 к договору горячего водоснабжения от 20.12.2021 N 773г, определив с учетом приведенного нормативного обоснования.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Руководствуясь </w:t>
      </w:r>
      <w:r>
        <w:rPr>
          <w:sz w:val="20"/>
        </w:rPr>
        <w:t xml:space="preserve">статьями 286</w:t>
      </w:r>
      <w:r>
        <w:rPr>
          <w:sz w:val="20"/>
        </w:rPr>
        <w:t xml:space="preserve"> - </w:t>
      </w:r>
      <w:r>
        <w:rPr>
          <w:sz w:val="20"/>
        </w:rPr>
        <w:t xml:space="preserve">289</w:t>
      </w:r>
      <w:r>
        <w:rPr>
          <w:sz w:val="20"/>
        </w:rPr>
        <w:t xml:space="preserve"> Арбитражного процессуального кодекса Российской Федерации, Арбитражный суд Дальневосточного округа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постановил: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решение от 14.06.2022,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Шестого арбитражного апелляционного суда от 24.10.2022 по делу N А04-2355/2022 Арбитражного суда Амурской области в части урегулирования разногласий по Приложению N 5 к договору горячего водоснабжения от 20.12.2021 N 773г и распределения судебных расходов отменить.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Дело в отмененной части направить на новое рассмотрение в Арбитражный суд Амурской области.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остальном решение от 14.06.2022,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Шестого арбитражного апелляционного суда от 24.10.2022 по указанному делу оставить без изменения.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Постановление вступает в законную силу со дня его принятия и может быть обжаловано в Судебную коллегию Верховного Суда Российской Федерации в срок, не превышающий двух месяцев со дня его принятия, в порядке, предусмотренном </w:t>
      </w:r>
      <w:r>
        <w:rPr>
          <w:sz w:val="20"/>
        </w:rPr>
        <w:t xml:space="preserve">статьей 291.1</w:t>
      </w:r>
      <w:r>
        <w:rPr>
          <w:sz w:val="20"/>
        </w:rPr>
        <w:t xml:space="preserve"> Арбитражного процессуального кодекса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Председательствующий судья</w:t>
      </w:r>
    </w:p>
    <w:p>
      <w:pPr>
        <w:pStyle w:val="0"/>
        <w:jc w:val="right"/>
      </w:pPr>
      <w:r>
        <w:rPr>
          <w:sz w:val="20"/>
        </w:rPr>
        <w:t xml:space="preserve">Е.К.ЯШКИНА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Судьи</w:t>
      </w:r>
    </w:p>
    <w:p>
      <w:pPr>
        <w:pStyle w:val="0"/>
        <w:jc w:val="right"/>
      </w:pPr>
      <w:r>
        <w:rPr>
          <w:sz w:val="20"/>
        </w:rPr>
        <w:t xml:space="preserve">Е.Н.ЗАХАРЕНКО</w:t>
      </w:r>
    </w:p>
    <w:p>
      <w:pPr>
        <w:pStyle w:val="0"/>
        <w:jc w:val="right"/>
      </w:pPr>
      <w:r>
        <w:rPr>
          <w:sz w:val="20"/>
        </w:rPr>
        <w:t xml:space="preserve">С.Ю.ЛЕСНЕНКО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3"/>
      <w:headerReference w:type="first" r:id="rId3"/>
      <w:footerReference w:type="default" r:id="rId4"/>
      <w:footerReference w:type="first" r:id="rId4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Арбитражного суда Дальневосточного округа от 17.01.2023 N Ф03-6184/2022 по делу N А04-2355/2022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11.09.2025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footer" Target="footer1.xm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Арбитражного суда Дальневосточного округа от 17.01.2023 N Ф03-6184/2022 по делу N А04-2355/2022
Требование: Об урегулировании разногласий по договору горячего водоснабжения.
Обстоятельства: При заключении договора между сторонами возникли разногласия относительно сведений о приборах учета и местах отбора проб горячей воды.
Решение: Дело передано на новое рассмотрение, так как не исследован вопрос об установленных в помещениях абонента приборах учета, соблюдении порядка ввода их в эксплуатацию </dc:title>
  <dcterms:created xsi:type="dcterms:W3CDTF">2025-09-11T06:17:14Z</dcterms:created>
</cp:coreProperties>
</file>